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9406"/>
      </w:tblGrid>
      <w:tr w:rsidR="0076434C" w14:paraId="025D7BAC" w14:textId="77777777">
        <w:tc>
          <w:tcPr>
            <w:tcW w:w="9406" w:type="dxa"/>
            <w:tcBorders>
              <w:top w:val="none" w:sz="4" w:space="0" w:color="auto"/>
              <w:left w:val="none" w:sz="4" w:space="0" w:color="auto"/>
              <w:bottom w:val="none" w:sz="4" w:space="0" w:color="auto"/>
              <w:right w:val="none" w:sz="4" w:space="0" w:color="auto"/>
            </w:tcBorders>
            <w:shd w:val="clear" w:color="auto" w:fill="1A237E"/>
          </w:tcPr>
          <w:p w14:paraId="5116300E" w14:textId="77777777" w:rsidR="0076434C" w:rsidRDefault="00000000">
            <w:pPr>
              <w:spacing w:before="160" w:after="40"/>
              <w:jc w:val="center"/>
            </w:pPr>
            <w:r>
              <w:rPr>
                <w:b/>
                <w:color w:val="FFFFFF"/>
                <w:sz w:val="32"/>
              </w:rPr>
              <w:t>SportData &amp; Territoires</w:t>
            </w:r>
          </w:p>
          <w:p w14:paraId="5B3E5C08" w14:textId="77777777" w:rsidR="0076434C" w:rsidRDefault="00000000">
            <w:pPr>
              <w:spacing w:after="160"/>
              <w:jc w:val="center"/>
            </w:pPr>
            <w:r>
              <w:rPr>
                <w:color w:val="BBDEFB"/>
                <w:sz w:val="22"/>
              </w:rPr>
              <w:t>Note méthodologique — Approche et sources</w:t>
            </w:r>
            <w:r>
              <w:rPr>
                <w:i/>
                <w:color w:val="90CAF9"/>
              </w:rPr>
              <w:t xml:space="preserve">  |  par Patrick Bayeux — Décideurs du sport</w:t>
            </w:r>
          </w:p>
        </w:tc>
      </w:tr>
    </w:tbl>
    <w:p w14:paraId="575E2404" w14:textId="77777777" w:rsidR="0076434C" w:rsidRDefault="0076434C">
      <w:pPr>
        <w:spacing w:after="80"/>
      </w:pPr>
    </w:p>
    <w:tbl>
      <w:tblPr>
        <w:tblStyle w:val="Grilledutableau"/>
        <w:tblW w:w="0" w:type="auto"/>
        <w:tblLook w:val="04A0" w:firstRow="1" w:lastRow="0" w:firstColumn="1" w:lastColumn="0" w:noHBand="0" w:noVBand="1"/>
      </w:tblPr>
      <w:tblGrid>
        <w:gridCol w:w="9322"/>
      </w:tblGrid>
      <w:tr w:rsidR="0076434C" w14:paraId="62631E3D" w14:textId="77777777" w:rsidTr="00284698">
        <w:tc>
          <w:tcPr>
            <w:tcW w:w="9322" w:type="dxa"/>
            <w:tcBorders>
              <w:top w:val="none" w:sz="4" w:space="0" w:color="auto"/>
              <w:left w:val="none" w:sz="4" w:space="0" w:color="auto"/>
              <w:bottom w:val="none" w:sz="4" w:space="0" w:color="auto"/>
              <w:right w:val="none" w:sz="4" w:space="0" w:color="auto"/>
            </w:tcBorders>
            <w:shd w:val="clear" w:color="auto" w:fill="1A237E"/>
          </w:tcPr>
          <w:p w14:paraId="51987F93" w14:textId="77777777" w:rsidR="0076434C" w:rsidRDefault="00000000">
            <w:pPr>
              <w:spacing w:before="80" w:after="80"/>
              <w:jc w:val="center"/>
            </w:pPr>
            <w:r>
              <w:rPr>
                <w:b/>
                <w:color w:val="FFFFFF"/>
                <w:sz w:val="22"/>
              </w:rPr>
              <w:t>1. SOURCES DE DONNÉES ET AVERTISSEMENTS</w:t>
            </w:r>
          </w:p>
        </w:tc>
      </w:tr>
    </w:tbl>
    <w:p w14:paraId="0F8C0353" w14:textId="77777777" w:rsidR="0076434C" w:rsidRDefault="0076434C">
      <w:pPr>
        <w:spacing w:after="40"/>
      </w:pPr>
    </w:p>
    <w:p w14:paraId="09682F9E" w14:textId="5977C27D" w:rsidR="0076434C" w:rsidRDefault="00000000">
      <w:pPr>
        <w:spacing w:after="80"/>
      </w:pPr>
      <w:r>
        <w:t xml:space="preserve">Les données mobilisées proviennent du portail open data du Ministère chargé des Sports : data.sports.gouv.fr. Elles couvrent les licenciés fédéraux (2023), les clubs affiliés (2023) et les équipements sportifs issus du </w:t>
      </w:r>
      <w:proofErr w:type="spellStart"/>
      <w:r>
        <w:t>Recensement</w:t>
      </w:r>
      <w:proofErr w:type="spellEnd"/>
      <w:r>
        <w:t xml:space="preserve"> des </w:t>
      </w:r>
      <w:proofErr w:type="spellStart"/>
      <w:r>
        <w:t>Équipements</w:t>
      </w:r>
      <w:proofErr w:type="spellEnd"/>
      <w:r>
        <w:t xml:space="preserve"> </w:t>
      </w:r>
      <w:proofErr w:type="spellStart"/>
      <w:r>
        <w:t>Sportifs</w:t>
      </w:r>
      <w:proofErr w:type="spellEnd"/>
      <w:r>
        <w:t xml:space="preserve"> — RES. Les données scolaires sont issues du Ministère de l'Éducation nationale (rentrée 2024).</w:t>
      </w:r>
    </w:p>
    <w:tbl>
      <w:tblPr>
        <w:tblStyle w:val="Grilledutableau"/>
        <w:tblW w:w="0" w:type="auto"/>
        <w:tblLook w:val="04A0" w:firstRow="1" w:lastRow="0" w:firstColumn="1" w:lastColumn="0" w:noHBand="0" w:noVBand="1"/>
      </w:tblPr>
      <w:tblGrid>
        <w:gridCol w:w="9396"/>
      </w:tblGrid>
      <w:tr w:rsidR="0076434C" w14:paraId="3CA3A45B" w14:textId="77777777">
        <w:tc>
          <w:tcPr>
            <w:tcW w:w="9406" w:type="dxa"/>
            <w:shd w:val="clear" w:color="auto" w:fill="FFF8E1"/>
          </w:tcPr>
          <w:p w14:paraId="7CF7772B" w14:textId="77777777" w:rsidR="0076434C" w:rsidRDefault="00000000">
            <w:pPr>
              <w:spacing w:before="60" w:after="60"/>
            </w:pPr>
            <w:r>
              <w:rPr>
                <w:b/>
              </w:rPr>
              <w:t xml:space="preserve">⚠  Données fournies à titre indicatif. </w:t>
            </w:r>
            <w:r>
              <w:t>Des erreurs ou omissions sont possibles, notamment concernant les équipements sportifs, dont le recensement repose sur des déclarations volontaires et dont la mise à jour n'est pas toujours régulière. Tout résultat présentant une anomalie manifeste doit faire l'objet d'une vérification sur le terrain avant toute décision.</w:t>
            </w:r>
          </w:p>
        </w:tc>
      </w:tr>
    </w:tbl>
    <w:p w14:paraId="6CE51B16" w14:textId="77777777" w:rsidR="0076434C" w:rsidRDefault="0076434C">
      <w:pPr>
        <w:spacing w:after="40"/>
      </w:pPr>
    </w:p>
    <w:p w14:paraId="2C4D07A4" w14:textId="77777777" w:rsidR="0076434C" w:rsidRDefault="00000000">
      <w:pPr>
        <w:spacing w:after="120"/>
      </w:pPr>
      <w:r>
        <w:rPr>
          <w:i/>
        </w:rPr>
        <w:t>Géolocalisation des licenciés : les licenciés sont rattachés à leur commune de résidence et non à celle de leur club. Cette approche permet de mesurer la demande sportive réelle d'un territoire, indépendamment de la localisation des équipements et des clubs.</w:t>
      </w:r>
    </w:p>
    <w:tbl>
      <w:tblPr>
        <w:tblStyle w:val="Grilledutableau"/>
        <w:tblW w:w="0" w:type="auto"/>
        <w:tblLook w:val="04A0" w:firstRow="1" w:lastRow="0" w:firstColumn="1" w:lastColumn="0" w:noHBand="0" w:noVBand="1"/>
      </w:tblPr>
      <w:tblGrid>
        <w:gridCol w:w="9322"/>
      </w:tblGrid>
      <w:tr w:rsidR="0076434C" w14:paraId="61FC9B68" w14:textId="77777777" w:rsidTr="00284698">
        <w:tc>
          <w:tcPr>
            <w:tcW w:w="9322" w:type="dxa"/>
            <w:tcBorders>
              <w:top w:val="none" w:sz="4" w:space="0" w:color="auto"/>
              <w:left w:val="none" w:sz="4" w:space="0" w:color="auto"/>
              <w:bottom w:val="none" w:sz="4" w:space="0" w:color="auto"/>
              <w:right w:val="none" w:sz="4" w:space="0" w:color="auto"/>
            </w:tcBorders>
            <w:shd w:val="clear" w:color="auto" w:fill="1A237E"/>
          </w:tcPr>
          <w:p w14:paraId="222AE0BE" w14:textId="77777777" w:rsidR="0076434C" w:rsidRDefault="00000000">
            <w:pPr>
              <w:spacing w:before="80" w:after="80"/>
              <w:jc w:val="center"/>
            </w:pPr>
            <w:r>
              <w:rPr>
                <w:b/>
                <w:color w:val="FFFFFF"/>
                <w:sz w:val="22"/>
              </w:rPr>
              <w:t>2. STRATES DE COMPARAISON</w:t>
            </w:r>
          </w:p>
        </w:tc>
      </w:tr>
    </w:tbl>
    <w:p w14:paraId="32E2E270" w14:textId="77777777" w:rsidR="0076434C" w:rsidRDefault="0076434C">
      <w:pPr>
        <w:spacing w:after="40"/>
      </w:pPr>
    </w:p>
    <w:p w14:paraId="4515AD9E" w14:textId="77777777" w:rsidR="0076434C" w:rsidRDefault="00000000">
      <w:pPr>
        <w:spacing w:after="100"/>
      </w:pPr>
      <w:r>
        <w:t>Pour permettre une comparaison pertinente, les communes et les intercommunalités sont classées en strates démographiques homogènes. Les indicateurs de strate sont des taux pondérés par la population (somme des licenciés / clubs / équipements de la strate rapportée à la population totale de la strate × 1 000).</w:t>
      </w:r>
    </w:p>
    <w:tbl>
      <w:tblPr>
        <w:tblStyle w:val="Grilledutableau"/>
        <w:tblW w:w="0" w:type="auto"/>
        <w:jc w:val="center"/>
        <w:tblLook w:val="04A0" w:firstRow="1" w:lastRow="0" w:firstColumn="1" w:lastColumn="0" w:noHBand="0" w:noVBand="1"/>
      </w:tblPr>
      <w:tblGrid>
        <w:gridCol w:w="4698"/>
        <w:gridCol w:w="4698"/>
      </w:tblGrid>
      <w:tr w:rsidR="0076434C" w14:paraId="51D60A09" w14:textId="77777777">
        <w:trPr>
          <w:jc w:val="center"/>
        </w:trPr>
        <w:tc>
          <w:tcPr>
            <w:tcW w:w="4703" w:type="dxa"/>
            <w:shd w:val="clear" w:color="auto" w:fill="1A237E"/>
          </w:tcPr>
          <w:p w14:paraId="6BB25273" w14:textId="77777777" w:rsidR="0076434C" w:rsidRDefault="00000000">
            <w:pPr>
              <w:jc w:val="center"/>
            </w:pPr>
            <w:r>
              <w:rPr>
                <w:b/>
                <w:color w:val="FFFFFF"/>
              </w:rPr>
              <w:t>Communes</w:t>
            </w:r>
          </w:p>
        </w:tc>
        <w:tc>
          <w:tcPr>
            <w:tcW w:w="4703" w:type="dxa"/>
            <w:shd w:val="clear" w:color="auto" w:fill="1A237E"/>
          </w:tcPr>
          <w:p w14:paraId="3311EDA1" w14:textId="77777777" w:rsidR="0076434C" w:rsidRDefault="00000000">
            <w:pPr>
              <w:jc w:val="center"/>
            </w:pPr>
            <w:r>
              <w:rPr>
                <w:b/>
                <w:color w:val="FFFFFF"/>
              </w:rPr>
              <w:t>Intercommunalités (EPCI)</w:t>
            </w:r>
          </w:p>
        </w:tc>
      </w:tr>
      <w:tr w:rsidR="0076434C" w14:paraId="73BA6318" w14:textId="77777777">
        <w:trPr>
          <w:jc w:val="center"/>
        </w:trPr>
        <w:tc>
          <w:tcPr>
            <w:tcW w:w="4703" w:type="dxa"/>
          </w:tcPr>
          <w:p w14:paraId="1B4BDF3A" w14:textId="77777777" w:rsidR="0076434C" w:rsidRDefault="00000000">
            <w:pPr>
              <w:spacing w:before="40" w:after="40"/>
              <w:jc w:val="center"/>
            </w:pPr>
            <w:r>
              <w:t>&lt; 3 500 hab.</w:t>
            </w:r>
          </w:p>
        </w:tc>
        <w:tc>
          <w:tcPr>
            <w:tcW w:w="4703" w:type="dxa"/>
          </w:tcPr>
          <w:p w14:paraId="48BF7362" w14:textId="77777777" w:rsidR="0076434C" w:rsidRDefault="00000000">
            <w:pPr>
              <w:spacing w:before="40" w:after="40"/>
              <w:jc w:val="center"/>
            </w:pPr>
            <w:r>
              <w:t>&lt; 15 000 hab.</w:t>
            </w:r>
          </w:p>
        </w:tc>
      </w:tr>
      <w:tr w:rsidR="0076434C" w14:paraId="7608F82A" w14:textId="77777777">
        <w:trPr>
          <w:jc w:val="center"/>
        </w:trPr>
        <w:tc>
          <w:tcPr>
            <w:tcW w:w="4703" w:type="dxa"/>
            <w:shd w:val="clear" w:color="auto" w:fill="E8EAF6"/>
          </w:tcPr>
          <w:p w14:paraId="50789085" w14:textId="77777777" w:rsidR="0076434C" w:rsidRDefault="00000000">
            <w:pPr>
              <w:spacing w:before="40" w:after="40"/>
              <w:jc w:val="center"/>
            </w:pPr>
            <w:r>
              <w:t>3 500 à 10 000 hab.</w:t>
            </w:r>
          </w:p>
        </w:tc>
        <w:tc>
          <w:tcPr>
            <w:tcW w:w="4703" w:type="dxa"/>
            <w:shd w:val="clear" w:color="auto" w:fill="E8EAF6"/>
          </w:tcPr>
          <w:p w14:paraId="3C4D2172" w14:textId="77777777" w:rsidR="0076434C" w:rsidRDefault="00000000">
            <w:pPr>
              <w:spacing w:before="40" w:after="40"/>
              <w:jc w:val="center"/>
            </w:pPr>
            <w:r>
              <w:t>15 000 à 50 000 hab.</w:t>
            </w:r>
          </w:p>
        </w:tc>
      </w:tr>
      <w:tr w:rsidR="0076434C" w14:paraId="6EE850FA" w14:textId="77777777">
        <w:trPr>
          <w:jc w:val="center"/>
        </w:trPr>
        <w:tc>
          <w:tcPr>
            <w:tcW w:w="4703" w:type="dxa"/>
          </w:tcPr>
          <w:p w14:paraId="512556B9" w14:textId="77777777" w:rsidR="0076434C" w:rsidRDefault="00000000">
            <w:pPr>
              <w:spacing w:before="40" w:after="40"/>
              <w:jc w:val="center"/>
            </w:pPr>
            <w:r>
              <w:t>10 000 à 30 000 hab.</w:t>
            </w:r>
          </w:p>
        </w:tc>
        <w:tc>
          <w:tcPr>
            <w:tcW w:w="4703" w:type="dxa"/>
          </w:tcPr>
          <w:p w14:paraId="207CCD9A" w14:textId="77777777" w:rsidR="0076434C" w:rsidRDefault="00000000">
            <w:pPr>
              <w:spacing w:before="40" w:after="40"/>
              <w:jc w:val="center"/>
            </w:pPr>
            <w:r>
              <w:t>50 000 à 250 000 hab.</w:t>
            </w:r>
          </w:p>
        </w:tc>
      </w:tr>
      <w:tr w:rsidR="0076434C" w14:paraId="74F2FA63" w14:textId="77777777">
        <w:trPr>
          <w:jc w:val="center"/>
        </w:trPr>
        <w:tc>
          <w:tcPr>
            <w:tcW w:w="4703" w:type="dxa"/>
            <w:shd w:val="clear" w:color="auto" w:fill="E8EAF6"/>
          </w:tcPr>
          <w:p w14:paraId="61778453" w14:textId="77777777" w:rsidR="0076434C" w:rsidRDefault="00000000">
            <w:pPr>
              <w:spacing w:before="40" w:after="40"/>
              <w:jc w:val="center"/>
            </w:pPr>
            <w:r>
              <w:t>30 000 à 100 000 hab.</w:t>
            </w:r>
          </w:p>
        </w:tc>
        <w:tc>
          <w:tcPr>
            <w:tcW w:w="4703" w:type="dxa"/>
            <w:shd w:val="clear" w:color="auto" w:fill="E8EAF6"/>
          </w:tcPr>
          <w:p w14:paraId="411C4795" w14:textId="77777777" w:rsidR="0076434C" w:rsidRDefault="00000000">
            <w:pPr>
              <w:spacing w:before="40" w:after="40"/>
              <w:jc w:val="center"/>
            </w:pPr>
            <w:r>
              <w:t>&gt; 250 000 hab.</w:t>
            </w:r>
          </w:p>
        </w:tc>
      </w:tr>
      <w:tr w:rsidR="0076434C" w14:paraId="0482AC2C" w14:textId="77777777">
        <w:trPr>
          <w:jc w:val="center"/>
        </w:trPr>
        <w:tc>
          <w:tcPr>
            <w:tcW w:w="4703" w:type="dxa"/>
          </w:tcPr>
          <w:p w14:paraId="287CB14F" w14:textId="77777777" w:rsidR="0076434C" w:rsidRDefault="00000000">
            <w:pPr>
              <w:spacing w:before="40" w:after="40"/>
              <w:jc w:val="center"/>
            </w:pPr>
            <w:r>
              <w:t>&gt; 100 000 hab.</w:t>
            </w:r>
          </w:p>
        </w:tc>
        <w:tc>
          <w:tcPr>
            <w:tcW w:w="4703" w:type="dxa"/>
          </w:tcPr>
          <w:p w14:paraId="52AAFB97" w14:textId="77777777" w:rsidR="0076434C" w:rsidRDefault="0076434C">
            <w:pPr>
              <w:spacing w:before="40" w:after="40"/>
              <w:jc w:val="center"/>
            </w:pPr>
          </w:p>
        </w:tc>
      </w:tr>
    </w:tbl>
    <w:p w14:paraId="2413BF12" w14:textId="77777777" w:rsidR="0076434C" w:rsidRDefault="0076434C">
      <w:pPr>
        <w:spacing w:after="80"/>
      </w:pPr>
    </w:p>
    <w:tbl>
      <w:tblPr>
        <w:tblStyle w:val="Grilledutableau"/>
        <w:tblW w:w="0" w:type="auto"/>
        <w:tblLook w:val="04A0" w:firstRow="1" w:lastRow="0" w:firstColumn="1" w:lastColumn="0" w:noHBand="0" w:noVBand="1"/>
      </w:tblPr>
      <w:tblGrid>
        <w:gridCol w:w="9071"/>
      </w:tblGrid>
      <w:tr w:rsidR="0076434C" w14:paraId="23D9F2C5" w14:textId="77777777">
        <w:tc>
          <w:tcPr>
            <w:tcW w:w="9071" w:type="dxa"/>
            <w:tcBorders>
              <w:top w:val="none" w:sz="4" w:space="0" w:color="auto"/>
              <w:left w:val="none" w:sz="4" w:space="0" w:color="auto"/>
              <w:bottom w:val="none" w:sz="4" w:space="0" w:color="auto"/>
              <w:right w:val="none" w:sz="4" w:space="0" w:color="auto"/>
            </w:tcBorders>
            <w:shd w:val="clear" w:color="auto" w:fill="1A237E"/>
          </w:tcPr>
          <w:p w14:paraId="2495DA07" w14:textId="77777777" w:rsidR="0076434C" w:rsidRDefault="00000000">
            <w:pPr>
              <w:spacing w:before="80" w:after="80"/>
              <w:jc w:val="center"/>
            </w:pPr>
            <w:r>
              <w:rPr>
                <w:b/>
                <w:color w:val="FFFFFF"/>
                <w:sz w:val="22"/>
              </w:rPr>
              <w:t>3. BESOINS THÉORIQUES — CLUBS SPORTIFS (LICENCIÉS)</w:t>
            </w:r>
          </w:p>
        </w:tc>
      </w:tr>
    </w:tbl>
    <w:p w14:paraId="7B433A31" w14:textId="77777777" w:rsidR="0076434C" w:rsidRDefault="0076434C">
      <w:pPr>
        <w:spacing w:after="40"/>
      </w:pPr>
    </w:p>
    <w:p w14:paraId="5D1C66B4" w14:textId="77777777" w:rsidR="0076434C" w:rsidRDefault="00000000">
      <w:pPr>
        <w:spacing w:after="60"/>
      </w:pPr>
      <w:r>
        <w:t>Le besoin théorique en équipements est calculé à partir des licenciés de chaque fédération selon la formule :</w:t>
      </w:r>
    </w:p>
    <w:tbl>
      <w:tblPr>
        <w:tblStyle w:val="Grilledutableau"/>
        <w:tblW w:w="0" w:type="auto"/>
        <w:tblLook w:val="04A0" w:firstRow="1" w:lastRow="0" w:firstColumn="1" w:lastColumn="0" w:noHBand="0" w:noVBand="1"/>
      </w:tblPr>
      <w:tblGrid>
        <w:gridCol w:w="9396"/>
      </w:tblGrid>
      <w:tr w:rsidR="0076434C" w14:paraId="130E3158" w14:textId="77777777">
        <w:tc>
          <w:tcPr>
            <w:tcW w:w="9406" w:type="dxa"/>
            <w:shd w:val="clear" w:color="auto" w:fill="E3F2FD"/>
          </w:tcPr>
          <w:p w14:paraId="259CFFCD" w14:textId="77777777" w:rsidR="0076434C" w:rsidRDefault="00000000">
            <w:pPr>
              <w:spacing w:before="100" w:after="100"/>
              <w:jc w:val="center"/>
            </w:pPr>
            <w:r>
              <w:rPr>
                <w:b/>
                <w:color w:val="1A237E"/>
              </w:rPr>
              <w:t>Besoin = (Licenciés ÷ Effectif de groupe) × Entraînements/semaine × Durée (h) ÷ Disponibilité hebdomadaire (h)</w:t>
            </w:r>
          </w:p>
        </w:tc>
      </w:tr>
    </w:tbl>
    <w:p w14:paraId="2287B697" w14:textId="77777777" w:rsidR="0076434C" w:rsidRDefault="0076434C">
      <w:pPr>
        <w:spacing w:after="60"/>
      </w:pPr>
    </w:p>
    <w:p w14:paraId="4B748C7B" w14:textId="77777777" w:rsidR="0076434C" w:rsidRDefault="00000000">
      <w:pPr>
        <w:spacing w:after="80"/>
      </w:pPr>
      <w:r>
        <w:t>Un coefficient majorateur est appliqué pour tenir compte des temps d'occupation non strictement sportifs (vestiaires, rangement, logistique) :</w:t>
      </w:r>
    </w:p>
    <w:tbl>
      <w:tblPr>
        <w:tblStyle w:val="Grilledutableau"/>
        <w:tblW w:w="0" w:type="auto"/>
        <w:jc w:val="center"/>
        <w:tblLook w:val="04A0" w:firstRow="1" w:lastRow="0" w:firstColumn="1" w:lastColumn="0" w:noHBand="0" w:noVBand="1"/>
      </w:tblPr>
      <w:tblGrid>
        <w:gridCol w:w="3133"/>
        <w:gridCol w:w="3132"/>
        <w:gridCol w:w="3131"/>
      </w:tblGrid>
      <w:tr w:rsidR="0076434C" w14:paraId="0ACB74E0" w14:textId="77777777">
        <w:trPr>
          <w:jc w:val="center"/>
        </w:trPr>
        <w:tc>
          <w:tcPr>
            <w:tcW w:w="3135" w:type="dxa"/>
            <w:shd w:val="clear" w:color="auto" w:fill="1A237E"/>
          </w:tcPr>
          <w:p w14:paraId="513E2B6A" w14:textId="77777777" w:rsidR="0076434C" w:rsidRDefault="00000000">
            <w:pPr>
              <w:spacing w:before="40" w:after="40"/>
              <w:jc w:val="center"/>
            </w:pPr>
            <w:r>
              <w:rPr>
                <w:b/>
                <w:color w:val="FFFFFF"/>
                <w:sz w:val="19"/>
              </w:rPr>
              <w:t>Type d'équipement</w:t>
            </w:r>
          </w:p>
        </w:tc>
        <w:tc>
          <w:tcPr>
            <w:tcW w:w="3135" w:type="dxa"/>
            <w:shd w:val="clear" w:color="auto" w:fill="1A237E"/>
          </w:tcPr>
          <w:p w14:paraId="59146E74" w14:textId="77777777" w:rsidR="0076434C" w:rsidRDefault="00000000">
            <w:pPr>
              <w:spacing w:before="40" w:after="40"/>
              <w:jc w:val="center"/>
            </w:pPr>
            <w:r>
              <w:rPr>
                <w:b/>
                <w:color w:val="FFFFFF"/>
                <w:sz w:val="19"/>
              </w:rPr>
              <w:t>Fédérations concernées</w:t>
            </w:r>
          </w:p>
        </w:tc>
        <w:tc>
          <w:tcPr>
            <w:tcW w:w="3135" w:type="dxa"/>
            <w:shd w:val="clear" w:color="auto" w:fill="1A237E"/>
          </w:tcPr>
          <w:p w14:paraId="7FDE3606" w14:textId="77777777" w:rsidR="0076434C" w:rsidRDefault="00000000">
            <w:pPr>
              <w:spacing w:before="40" w:after="40"/>
              <w:jc w:val="center"/>
            </w:pPr>
            <w:r>
              <w:rPr>
                <w:b/>
                <w:color w:val="FFFFFF"/>
                <w:sz w:val="19"/>
              </w:rPr>
              <w:t>Coeff.</w:t>
            </w:r>
          </w:p>
        </w:tc>
      </w:tr>
      <w:tr w:rsidR="0076434C" w14:paraId="63F0AB52" w14:textId="77777777">
        <w:trPr>
          <w:jc w:val="center"/>
        </w:trPr>
        <w:tc>
          <w:tcPr>
            <w:tcW w:w="3135" w:type="dxa"/>
          </w:tcPr>
          <w:p w14:paraId="3A4F700B" w14:textId="77777777" w:rsidR="0076434C" w:rsidRDefault="00000000">
            <w:pPr>
              <w:spacing w:before="40" w:after="40"/>
            </w:pPr>
            <w:r>
              <w:rPr>
                <w:sz w:val="19"/>
              </w:rPr>
              <w:t>Courts de tennis</w:t>
            </w:r>
          </w:p>
        </w:tc>
        <w:tc>
          <w:tcPr>
            <w:tcW w:w="3135" w:type="dxa"/>
          </w:tcPr>
          <w:p w14:paraId="148A3874" w14:textId="77777777" w:rsidR="0076434C" w:rsidRDefault="00000000">
            <w:pPr>
              <w:spacing w:before="40" w:after="40"/>
            </w:pPr>
            <w:r>
              <w:rPr>
                <w:sz w:val="19"/>
              </w:rPr>
              <w:t>FF Tennis</w:t>
            </w:r>
          </w:p>
        </w:tc>
        <w:tc>
          <w:tcPr>
            <w:tcW w:w="3135" w:type="dxa"/>
          </w:tcPr>
          <w:p w14:paraId="15A4878B" w14:textId="77777777" w:rsidR="0076434C" w:rsidRDefault="00000000">
            <w:pPr>
              <w:spacing w:before="40" w:after="40"/>
              <w:jc w:val="center"/>
            </w:pPr>
            <w:r>
              <w:rPr>
                <w:b/>
                <w:sz w:val="19"/>
              </w:rPr>
              <w:t>× 1,15</w:t>
            </w:r>
          </w:p>
        </w:tc>
      </w:tr>
      <w:tr w:rsidR="0076434C" w14:paraId="20AFE5FC" w14:textId="77777777">
        <w:trPr>
          <w:jc w:val="center"/>
        </w:trPr>
        <w:tc>
          <w:tcPr>
            <w:tcW w:w="3135" w:type="dxa"/>
            <w:shd w:val="clear" w:color="auto" w:fill="E8EAF6"/>
          </w:tcPr>
          <w:p w14:paraId="22E9621A" w14:textId="77777777" w:rsidR="0076434C" w:rsidRDefault="00000000">
            <w:pPr>
              <w:spacing w:before="40" w:after="40"/>
            </w:pPr>
            <w:r>
              <w:rPr>
                <w:sz w:val="19"/>
              </w:rPr>
              <w:lastRenderedPageBreak/>
              <w:t>Salles multisports</w:t>
            </w:r>
          </w:p>
        </w:tc>
        <w:tc>
          <w:tcPr>
            <w:tcW w:w="3135" w:type="dxa"/>
            <w:shd w:val="clear" w:color="auto" w:fill="E8EAF6"/>
          </w:tcPr>
          <w:p w14:paraId="6E6535D7" w14:textId="77777777" w:rsidR="0076434C" w:rsidRDefault="00000000">
            <w:pPr>
              <w:spacing w:before="40" w:after="40"/>
            </w:pPr>
            <w:r>
              <w:rPr>
                <w:sz w:val="19"/>
              </w:rPr>
              <w:t>Basketball, Handball, Volley-Ball, Badminton</w:t>
            </w:r>
          </w:p>
        </w:tc>
        <w:tc>
          <w:tcPr>
            <w:tcW w:w="3135" w:type="dxa"/>
            <w:shd w:val="clear" w:color="auto" w:fill="E8EAF6"/>
          </w:tcPr>
          <w:p w14:paraId="3BCF745D" w14:textId="77777777" w:rsidR="0076434C" w:rsidRDefault="00000000">
            <w:pPr>
              <w:spacing w:before="40" w:after="40"/>
              <w:jc w:val="center"/>
            </w:pPr>
            <w:r>
              <w:rPr>
                <w:b/>
                <w:sz w:val="19"/>
              </w:rPr>
              <w:t>× 1,15</w:t>
            </w:r>
          </w:p>
        </w:tc>
      </w:tr>
      <w:tr w:rsidR="0076434C" w14:paraId="787ADEAF" w14:textId="77777777">
        <w:trPr>
          <w:jc w:val="center"/>
        </w:trPr>
        <w:tc>
          <w:tcPr>
            <w:tcW w:w="3135" w:type="dxa"/>
          </w:tcPr>
          <w:p w14:paraId="1716B1FE" w14:textId="77777777" w:rsidR="0076434C" w:rsidRDefault="00000000">
            <w:pPr>
              <w:spacing w:before="40" w:after="40"/>
            </w:pPr>
            <w:r>
              <w:rPr>
                <w:sz w:val="19"/>
              </w:rPr>
              <w:t>Terrains de grands jeux</w:t>
            </w:r>
          </w:p>
        </w:tc>
        <w:tc>
          <w:tcPr>
            <w:tcW w:w="3135" w:type="dxa"/>
          </w:tcPr>
          <w:p w14:paraId="5CB70EA6" w14:textId="77777777" w:rsidR="0076434C" w:rsidRDefault="00000000">
            <w:pPr>
              <w:spacing w:before="40" w:after="40"/>
            </w:pPr>
            <w:r>
              <w:rPr>
                <w:sz w:val="19"/>
              </w:rPr>
              <w:t>Football, Rugby</w:t>
            </w:r>
          </w:p>
        </w:tc>
        <w:tc>
          <w:tcPr>
            <w:tcW w:w="3135" w:type="dxa"/>
          </w:tcPr>
          <w:p w14:paraId="75B9EB0A" w14:textId="77777777" w:rsidR="0076434C" w:rsidRDefault="00000000">
            <w:pPr>
              <w:spacing w:before="40" w:after="40"/>
              <w:jc w:val="center"/>
            </w:pPr>
            <w:r>
              <w:rPr>
                <w:b/>
                <w:sz w:val="19"/>
              </w:rPr>
              <w:t>× 1,20</w:t>
            </w:r>
          </w:p>
        </w:tc>
      </w:tr>
      <w:tr w:rsidR="0076434C" w14:paraId="265D60C4" w14:textId="77777777">
        <w:trPr>
          <w:jc w:val="center"/>
        </w:trPr>
        <w:tc>
          <w:tcPr>
            <w:tcW w:w="3135" w:type="dxa"/>
            <w:shd w:val="clear" w:color="auto" w:fill="E8EAF6"/>
          </w:tcPr>
          <w:p w14:paraId="1CBDC9C0" w14:textId="77777777" w:rsidR="0076434C" w:rsidRDefault="00000000">
            <w:pPr>
              <w:spacing w:before="40" w:after="40"/>
            </w:pPr>
            <w:r>
              <w:rPr>
                <w:sz w:val="19"/>
              </w:rPr>
              <w:t>Salles de combat</w:t>
            </w:r>
          </w:p>
        </w:tc>
        <w:tc>
          <w:tcPr>
            <w:tcW w:w="3135" w:type="dxa"/>
            <w:shd w:val="clear" w:color="auto" w:fill="E8EAF6"/>
          </w:tcPr>
          <w:p w14:paraId="37F18D10" w14:textId="77777777" w:rsidR="0076434C" w:rsidRDefault="00000000">
            <w:pPr>
              <w:spacing w:before="40" w:after="40"/>
            </w:pPr>
            <w:r>
              <w:rPr>
                <w:sz w:val="19"/>
              </w:rPr>
              <w:t>Judo, Taekwondo, Aïkido, Karaté, Boxe</w:t>
            </w:r>
          </w:p>
        </w:tc>
        <w:tc>
          <w:tcPr>
            <w:tcW w:w="3135" w:type="dxa"/>
            <w:shd w:val="clear" w:color="auto" w:fill="E8EAF6"/>
          </w:tcPr>
          <w:p w14:paraId="48BD6F23" w14:textId="77777777" w:rsidR="0076434C" w:rsidRDefault="00000000">
            <w:pPr>
              <w:spacing w:before="40" w:after="40"/>
              <w:jc w:val="center"/>
            </w:pPr>
            <w:r>
              <w:rPr>
                <w:b/>
                <w:sz w:val="19"/>
              </w:rPr>
              <w:t>× 1,20</w:t>
            </w:r>
          </w:p>
        </w:tc>
      </w:tr>
    </w:tbl>
    <w:p w14:paraId="67560AE1" w14:textId="77777777" w:rsidR="0076434C" w:rsidRDefault="0076434C">
      <w:pPr>
        <w:spacing w:after="60"/>
      </w:pPr>
    </w:p>
    <w:p w14:paraId="6AEC451C" w14:textId="77777777" w:rsidR="0076434C" w:rsidRDefault="00000000">
      <w:pPr>
        <w:spacing w:after="120"/>
      </w:pPr>
      <w:r>
        <w:rPr>
          <w:i/>
          <w:color w:val="555555"/>
        </w:rPr>
        <w:t>L'écart = équipements actuels − besoins calculés. Un écart négatif signale un déficit ; un écart positif un excédent théorique.</w:t>
      </w:r>
    </w:p>
    <w:tbl>
      <w:tblPr>
        <w:tblStyle w:val="Grilledutableau"/>
        <w:tblW w:w="0" w:type="auto"/>
        <w:tblLook w:val="04A0" w:firstRow="1" w:lastRow="0" w:firstColumn="1" w:lastColumn="0" w:noHBand="0" w:noVBand="1"/>
      </w:tblPr>
      <w:tblGrid>
        <w:gridCol w:w="9406"/>
      </w:tblGrid>
      <w:tr w:rsidR="0076434C" w14:paraId="57261A7E" w14:textId="77777777" w:rsidTr="00284698">
        <w:tc>
          <w:tcPr>
            <w:tcW w:w="9464" w:type="dxa"/>
            <w:tcBorders>
              <w:top w:val="none" w:sz="4" w:space="0" w:color="auto"/>
              <w:left w:val="none" w:sz="4" w:space="0" w:color="auto"/>
              <w:bottom w:val="none" w:sz="4" w:space="0" w:color="auto"/>
              <w:right w:val="none" w:sz="4" w:space="0" w:color="auto"/>
            </w:tcBorders>
            <w:shd w:val="clear" w:color="auto" w:fill="1A237E"/>
          </w:tcPr>
          <w:p w14:paraId="0524282E" w14:textId="77777777" w:rsidR="0076434C" w:rsidRDefault="00000000">
            <w:pPr>
              <w:spacing w:before="80" w:after="80"/>
              <w:jc w:val="center"/>
            </w:pPr>
            <w:r>
              <w:rPr>
                <w:b/>
                <w:color w:val="FFFFFF"/>
                <w:sz w:val="22"/>
              </w:rPr>
              <w:t>4. BESOINS THÉORIQUES — SCOLAIRES</w:t>
            </w:r>
          </w:p>
        </w:tc>
      </w:tr>
    </w:tbl>
    <w:p w14:paraId="6BD32CF0" w14:textId="77777777" w:rsidR="0076434C" w:rsidRDefault="0076434C">
      <w:pPr>
        <w:spacing w:after="40"/>
      </w:pPr>
    </w:p>
    <w:p w14:paraId="1F6FD2E0" w14:textId="77777777" w:rsidR="0076434C" w:rsidRDefault="00000000">
      <w:pPr>
        <w:spacing w:before="120" w:after="60"/>
      </w:pPr>
      <w:r>
        <w:rPr>
          <w:b/>
          <w:color w:val="1A237E"/>
          <w:sz w:val="21"/>
        </w:rPr>
        <w:t>A. Gymnases</w:t>
      </w:r>
    </w:p>
    <w:p w14:paraId="1FF98D34" w14:textId="77777777" w:rsidR="0076434C" w:rsidRDefault="00000000">
      <w:pPr>
        <w:spacing w:after="80"/>
      </w:pPr>
      <w:r>
        <w:t>Le calcul est fondé sur les effectifs scolaires (primaire, collège, lycée GT) et les volumes horaires EPS réglementaires. La maternelle est exclue (activités physiques ne nécessitant pas de gymnase). Deux hypothèses sont retenues selon la part du temps EPS pratiqué en gymnase :</w:t>
      </w:r>
    </w:p>
    <w:tbl>
      <w:tblPr>
        <w:tblStyle w:val="Grilledutableau"/>
        <w:tblW w:w="0" w:type="auto"/>
        <w:jc w:val="center"/>
        <w:tblLook w:val="04A0" w:firstRow="1" w:lastRow="0" w:firstColumn="1" w:lastColumn="0" w:noHBand="0" w:noVBand="1"/>
      </w:tblPr>
      <w:tblGrid>
        <w:gridCol w:w="1880"/>
        <w:gridCol w:w="1880"/>
        <w:gridCol w:w="1879"/>
        <w:gridCol w:w="1879"/>
        <w:gridCol w:w="1878"/>
      </w:tblGrid>
      <w:tr w:rsidR="0076434C" w14:paraId="6ABC9822" w14:textId="77777777">
        <w:trPr>
          <w:jc w:val="center"/>
        </w:trPr>
        <w:tc>
          <w:tcPr>
            <w:tcW w:w="1881" w:type="dxa"/>
            <w:shd w:val="clear" w:color="auto" w:fill="1A237E"/>
          </w:tcPr>
          <w:p w14:paraId="43AAD5B6" w14:textId="77777777" w:rsidR="0076434C" w:rsidRDefault="00000000">
            <w:pPr>
              <w:spacing w:before="40" w:after="40"/>
              <w:jc w:val="center"/>
            </w:pPr>
            <w:r>
              <w:rPr>
                <w:b/>
                <w:color w:val="FFFFFF"/>
                <w:sz w:val="19"/>
              </w:rPr>
              <w:t>Niveau</w:t>
            </w:r>
          </w:p>
        </w:tc>
        <w:tc>
          <w:tcPr>
            <w:tcW w:w="1881" w:type="dxa"/>
            <w:shd w:val="clear" w:color="auto" w:fill="1A237E"/>
          </w:tcPr>
          <w:p w14:paraId="0BD58E72" w14:textId="77777777" w:rsidR="0076434C" w:rsidRDefault="00000000">
            <w:pPr>
              <w:spacing w:before="40" w:after="40"/>
              <w:jc w:val="center"/>
            </w:pPr>
            <w:r>
              <w:rPr>
                <w:b/>
                <w:color w:val="FFFFFF"/>
                <w:sz w:val="19"/>
              </w:rPr>
              <w:t>Élèves/classe</w:t>
            </w:r>
          </w:p>
        </w:tc>
        <w:tc>
          <w:tcPr>
            <w:tcW w:w="1881" w:type="dxa"/>
            <w:shd w:val="clear" w:color="auto" w:fill="1A237E"/>
          </w:tcPr>
          <w:p w14:paraId="1AC67166" w14:textId="77777777" w:rsidR="0076434C" w:rsidRDefault="00000000">
            <w:pPr>
              <w:spacing w:before="40" w:after="40"/>
              <w:jc w:val="center"/>
            </w:pPr>
            <w:r>
              <w:rPr>
                <w:b/>
                <w:color w:val="FFFFFF"/>
                <w:sz w:val="19"/>
              </w:rPr>
              <w:t>H. EPS/sem.</w:t>
            </w:r>
          </w:p>
        </w:tc>
        <w:tc>
          <w:tcPr>
            <w:tcW w:w="1881" w:type="dxa"/>
            <w:shd w:val="clear" w:color="auto" w:fill="1A237E"/>
          </w:tcPr>
          <w:p w14:paraId="49F9228E" w14:textId="77777777" w:rsidR="0076434C" w:rsidRDefault="00000000">
            <w:pPr>
              <w:spacing w:before="40" w:after="40"/>
              <w:jc w:val="center"/>
            </w:pPr>
            <w:r>
              <w:rPr>
                <w:b/>
                <w:color w:val="FFFFFF"/>
                <w:sz w:val="19"/>
              </w:rPr>
              <w:t>H. programme</w:t>
            </w:r>
          </w:p>
        </w:tc>
        <w:tc>
          <w:tcPr>
            <w:tcW w:w="1881" w:type="dxa"/>
            <w:shd w:val="clear" w:color="auto" w:fill="1A237E"/>
          </w:tcPr>
          <w:p w14:paraId="75AF8CE1" w14:textId="77777777" w:rsidR="0076434C" w:rsidRDefault="00000000">
            <w:pPr>
              <w:spacing w:before="40" w:after="40"/>
              <w:jc w:val="center"/>
            </w:pPr>
            <w:r>
              <w:rPr>
                <w:b/>
                <w:color w:val="FFFFFF"/>
                <w:sz w:val="19"/>
              </w:rPr>
              <w:t>Inclus</w:t>
            </w:r>
          </w:p>
        </w:tc>
      </w:tr>
      <w:tr w:rsidR="0076434C" w14:paraId="6D969656" w14:textId="77777777">
        <w:trPr>
          <w:jc w:val="center"/>
        </w:trPr>
        <w:tc>
          <w:tcPr>
            <w:tcW w:w="1881" w:type="dxa"/>
          </w:tcPr>
          <w:p w14:paraId="60254F0E" w14:textId="77777777" w:rsidR="0076434C" w:rsidRDefault="00000000">
            <w:pPr>
              <w:spacing w:before="40" w:after="40"/>
              <w:jc w:val="center"/>
            </w:pPr>
            <w:r>
              <w:rPr>
                <w:sz w:val="19"/>
              </w:rPr>
              <w:t>Maternelle</w:t>
            </w:r>
          </w:p>
        </w:tc>
        <w:tc>
          <w:tcPr>
            <w:tcW w:w="1881" w:type="dxa"/>
          </w:tcPr>
          <w:p w14:paraId="1256ABD9" w14:textId="77777777" w:rsidR="0076434C" w:rsidRDefault="00000000">
            <w:pPr>
              <w:spacing w:before="40" w:after="40"/>
              <w:jc w:val="center"/>
            </w:pPr>
            <w:r>
              <w:rPr>
                <w:sz w:val="19"/>
              </w:rPr>
              <w:t>20</w:t>
            </w:r>
          </w:p>
        </w:tc>
        <w:tc>
          <w:tcPr>
            <w:tcW w:w="1881" w:type="dxa"/>
          </w:tcPr>
          <w:p w14:paraId="220B5C8E" w14:textId="77777777" w:rsidR="0076434C" w:rsidRDefault="00000000">
            <w:pPr>
              <w:spacing w:before="40" w:after="40"/>
              <w:jc w:val="center"/>
            </w:pPr>
            <w:r>
              <w:rPr>
                <w:sz w:val="19"/>
              </w:rPr>
              <w:t>3 h</w:t>
            </w:r>
          </w:p>
        </w:tc>
        <w:tc>
          <w:tcPr>
            <w:tcW w:w="1881" w:type="dxa"/>
          </w:tcPr>
          <w:p w14:paraId="28EA7A52" w14:textId="77777777" w:rsidR="0076434C" w:rsidRDefault="00000000">
            <w:pPr>
              <w:spacing w:before="40" w:after="40"/>
              <w:jc w:val="center"/>
            </w:pPr>
            <w:r>
              <w:rPr>
                <w:sz w:val="19"/>
              </w:rPr>
              <w:t>24 h</w:t>
            </w:r>
          </w:p>
        </w:tc>
        <w:tc>
          <w:tcPr>
            <w:tcW w:w="1881" w:type="dxa"/>
          </w:tcPr>
          <w:p w14:paraId="4663613F" w14:textId="77777777" w:rsidR="0076434C" w:rsidRDefault="00000000">
            <w:pPr>
              <w:spacing w:before="40" w:after="40"/>
              <w:jc w:val="center"/>
            </w:pPr>
            <w:r>
              <w:rPr>
                <w:color w:val="C0392B"/>
                <w:sz w:val="19"/>
              </w:rPr>
              <w:t>Non</w:t>
            </w:r>
          </w:p>
        </w:tc>
      </w:tr>
      <w:tr w:rsidR="0076434C" w14:paraId="30DE9EE6" w14:textId="77777777">
        <w:trPr>
          <w:jc w:val="center"/>
        </w:trPr>
        <w:tc>
          <w:tcPr>
            <w:tcW w:w="1881" w:type="dxa"/>
            <w:shd w:val="clear" w:color="auto" w:fill="E8EAF6"/>
          </w:tcPr>
          <w:p w14:paraId="45124306" w14:textId="77777777" w:rsidR="0076434C" w:rsidRDefault="00000000">
            <w:pPr>
              <w:spacing w:before="40" w:after="40"/>
              <w:jc w:val="center"/>
            </w:pPr>
            <w:r>
              <w:rPr>
                <w:sz w:val="19"/>
              </w:rPr>
              <w:t>Primaire</w:t>
            </w:r>
          </w:p>
        </w:tc>
        <w:tc>
          <w:tcPr>
            <w:tcW w:w="1881" w:type="dxa"/>
            <w:shd w:val="clear" w:color="auto" w:fill="E8EAF6"/>
          </w:tcPr>
          <w:p w14:paraId="68A218AA" w14:textId="77777777" w:rsidR="0076434C" w:rsidRDefault="00000000">
            <w:pPr>
              <w:spacing w:before="40" w:after="40"/>
              <w:jc w:val="center"/>
            </w:pPr>
            <w:r>
              <w:rPr>
                <w:sz w:val="19"/>
              </w:rPr>
              <w:t>22</w:t>
            </w:r>
          </w:p>
        </w:tc>
        <w:tc>
          <w:tcPr>
            <w:tcW w:w="1881" w:type="dxa"/>
            <w:shd w:val="clear" w:color="auto" w:fill="E8EAF6"/>
          </w:tcPr>
          <w:p w14:paraId="2D9929A5" w14:textId="77777777" w:rsidR="0076434C" w:rsidRDefault="00000000">
            <w:pPr>
              <w:spacing w:before="40" w:after="40"/>
              <w:jc w:val="center"/>
            </w:pPr>
            <w:r>
              <w:rPr>
                <w:sz w:val="19"/>
              </w:rPr>
              <w:t>3 h</w:t>
            </w:r>
          </w:p>
        </w:tc>
        <w:tc>
          <w:tcPr>
            <w:tcW w:w="1881" w:type="dxa"/>
            <w:shd w:val="clear" w:color="auto" w:fill="E8EAF6"/>
          </w:tcPr>
          <w:p w14:paraId="67DF6A64" w14:textId="77777777" w:rsidR="0076434C" w:rsidRDefault="00000000">
            <w:pPr>
              <w:spacing w:before="40" w:after="40"/>
              <w:jc w:val="center"/>
            </w:pPr>
            <w:r>
              <w:rPr>
                <w:sz w:val="19"/>
              </w:rPr>
              <w:t>27 h</w:t>
            </w:r>
          </w:p>
        </w:tc>
        <w:tc>
          <w:tcPr>
            <w:tcW w:w="1881" w:type="dxa"/>
            <w:shd w:val="clear" w:color="auto" w:fill="E8EAF6"/>
          </w:tcPr>
          <w:p w14:paraId="01017B2A" w14:textId="77777777" w:rsidR="0076434C" w:rsidRDefault="00000000">
            <w:pPr>
              <w:spacing w:before="40" w:after="40"/>
              <w:jc w:val="center"/>
            </w:pPr>
            <w:r>
              <w:rPr>
                <w:color w:val="27AE60"/>
                <w:sz w:val="19"/>
              </w:rPr>
              <w:t>Oui</w:t>
            </w:r>
          </w:p>
        </w:tc>
      </w:tr>
      <w:tr w:rsidR="0076434C" w14:paraId="7A716C43" w14:textId="77777777">
        <w:trPr>
          <w:jc w:val="center"/>
        </w:trPr>
        <w:tc>
          <w:tcPr>
            <w:tcW w:w="1881" w:type="dxa"/>
          </w:tcPr>
          <w:p w14:paraId="6782B093" w14:textId="77777777" w:rsidR="0076434C" w:rsidRDefault="00000000">
            <w:pPr>
              <w:spacing w:before="40" w:after="40"/>
              <w:jc w:val="center"/>
            </w:pPr>
            <w:r>
              <w:rPr>
                <w:sz w:val="19"/>
              </w:rPr>
              <w:t>Collège</w:t>
            </w:r>
          </w:p>
        </w:tc>
        <w:tc>
          <w:tcPr>
            <w:tcW w:w="1881" w:type="dxa"/>
          </w:tcPr>
          <w:p w14:paraId="1BBCE6A3" w14:textId="77777777" w:rsidR="0076434C" w:rsidRDefault="00000000">
            <w:pPr>
              <w:spacing w:before="40" w:after="40"/>
              <w:jc w:val="center"/>
            </w:pPr>
            <w:r>
              <w:rPr>
                <w:sz w:val="19"/>
              </w:rPr>
              <w:t>25</w:t>
            </w:r>
          </w:p>
        </w:tc>
        <w:tc>
          <w:tcPr>
            <w:tcW w:w="1881" w:type="dxa"/>
          </w:tcPr>
          <w:p w14:paraId="38E8B450" w14:textId="77777777" w:rsidR="0076434C" w:rsidRDefault="00000000">
            <w:pPr>
              <w:spacing w:before="40" w:after="40"/>
              <w:jc w:val="center"/>
            </w:pPr>
            <w:r>
              <w:rPr>
                <w:sz w:val="19"/>
              </w:rPr>
              <w:t>4 h</w:t>
            </w:r>
          </w:p>
        </w:tc>
        <w:tc>
          <w:tcPr>
            <w:tcW w:w="1881" w:type="dxa"/>
          </w:tcPr>
          <w:p w14:paraId="525A2446" w14:textId="77777777" w:rsidR="0076434C" w:rsidRDefault="00000000">
            <w:pPr>
              <w:spacing w:before="40" w:after="40"/>
              <w:jc w:val="center"/>
            </w:pPr>
            <w:r>
              <w:rPr>
                <w:sz w:val="19"/>
              </w:rPr>
              <w:t>36 h</w:t>
            </w:r>
          </w:p>
        </w:tc>
        <w:tc>
          <w:tcPr>
            <w:tcW w:w="1881" w:type="dxa"/>
          </w:tcPr>
          <w:p w14:paraId="672E68A5" w14:textId="77777777" w:rsidR="0076434C" w:rsidRDefault="00000000">
            <w:pPr>
              <w:spacing w:before="40" w:after="40"/>
              <w:jc w:val="center"/>
            </w:pPr>
            <w:r>
              <w:rPr>
                <w:color w:val="27AE60"/>
                <w:sz w:val="19"/>
              </w:rPr>
              <w:t>Oui</w:t>
            </w:r>
          </w:p>
        </w:tc>
      </w:tr>
      <w:tr w:rsidR="0076434C" w14:paraId="20C29FB3" w14:textId="77777777">
        <w:trPr>
          <w:jc w:val="center"/>
        </w:trPr>
        <w:tc>
          <w:tcPr>
            <w:tcW w:w="1881" w:type="dxa"/>
            <w:shd w:val="clear" w:color="auto" w:fill="E8EAF6"/>
          </w:tcPr>
          <w:p w14:paraId="6C533CE0" w14:textId="77777777" w:rsidR="0076434C" w:rsidRDefault="00000000">
            <w:pPr>
              <w:spacing w:before="40" w:after="40"/>
              <w:jc w:val="center"/>
            </w:pPr>
            <w:r>
              <w:rPr>
                <w:sz w:val="19"/>
              </w:rPr>
              <w:t>Lycée GT</w:t>
            </w:r>
          </w:p>
        </w:tc>
        <w:tc>
          <w:tcPr>
            <w:tcW w:w="1881" w:type="dxa"/>
            <w:shd w:val="clear" w:color="auto" w:fill="E8EAF6"/>
          </w:tcPr>
          <w:p w14:paraId="50534500" w14:textId="77777777" w:rsidR="0076434C" w:rsidRDefault="00000000">
            <w:pPr>
              <w:spacing w:before="40" w:after="40"/>
              <w:jc w:val="center"/>
            </w:pPr>
            <w:r>
              <w:rPr>
                <w:sz w:val="19"/>
              </w:rPr>
              <w:t>28</w:t>
            </w:r>
          </w:p>
        </w:tc>
        <w:tc>
          <w:tcPr>
            <w:tcW w:w="1881" w:type="dxa"/>
            <w:shd w:val="clear" w:color="auto" w:fill="E8EAF6"/>
          </w:tcPr>
          <w:p w14:paraId="258AF2EF" w14:textId="77777777" w:rsidR="0076434C" w:rsidRDefault="00000000">
            <w:pPr>
              <w:spacing w:before="40" w:after="40"/>
              <w:jc w:val="center"/>
            </w:pPr>
            <w:r>
              <w:rPr>
                <w:sz w:val="19"/>
              </w:rPr>
              <w:t>3 h</w:t>
            </w:r>
          </w:p>
        </w:tc>
        <w:tc>
          <w:tcPr>
            <w:tcW w:w="1881" w:type="dxa"/>
            <w:shd w:val="clear" w:color="auto" w:fill="E8EAF6"/>
          </w:tcPr>
          <w:p w14:paraId="5E967DCF" w14:textId="77777777" w:rsidR="0076434C" w:rsidRDefault="00000000">
            <w:pPr>
              <w:spacing w:before="40" w:after="40"/>
              <w:jc w:val="center"/>
            </w:pPr>
            <w:r>
              <w:rPr>
                <w:sz w:val="19"/>
              </w:rPr>
              <w:t>40 h</w:t>
            </w:r>
          </w:p>
        </w:tc>
        <w:tc>
          <w:tcPr>
            <w:tcW w:w="1881" w:type="dxa"/>
            <w:shd w:val="clear" w:color="auto" w:fill="E8EAF6"/>
          </w:tcPr>
          <w:p w14:paraId="4E6556E0" w14:textId="77777777" w:rsidR="0076434C" w:rsidRDefault="00000000">
            <w:pPr>
              <w:spacing w:before="40" w:after="40"/>
              <w:jc w:val="center"/>
            </w:pPr>
            <w:r>
              <w:rPr>
                <w:color w:val="27AE60"/>
                <w:sz w:val="19"/>
              </w:rPr>
              <w:t>Oui</w:t>
            </w:r>
          </w:p>
        </w:tc>
      </w:tr>
    </w:tbl>
    <w:p w14:paraId="65756513" w14:textId="77777777" w:rsidR="0076434C" w:rsidRDefault="0076434C">
      <w:pPr>
        <w:spacing w:after="60"/>
      </w:pPr>
    </w:p>
    <w:p w14:paraId="63B37BF1" w14:textId="77777777" w:rsidR="0076434C" w:rsidRDefault="00000000">
      <w:pPr>
        <w:pStyle w:val="Listepuces"/>
        <w:spacing w:after="40"/>
        <w:ind w:left="283"/>
      </w:pPr>
      <w:r>
        <w:t>Hypothèse 30 % : 30 % du temps EPS se déroule en gymnase → classes/structure = H. programme ÷ (H. EPS × 30 %) ; besoin = nb de classes ÷ classes/structure</w:t>
      </w:r>
    </w:p>
    <w:p w14:paraId="77A6B7EC" w14:textId="77777777" w:rsidR="0076434C" w:rsidRDefault="00000000">
      <w:pPr>
        <w:pStyle w:val="Listepuces"/>
        <w:spacing w:after="40"/>
        <w:ind w:left="283"/>
      </w:pPr>
      <w:r>
        <w:t>Hypothèse 50 % : même calcul avec 50 % du temps EPS en gymnase</w:t>
      </w:r>
    </w:p>
    <w:p w14:paraId="51EABDBD" w14:textId="77777777" w:rsidR="0076434C" w:rsidRDefault="00000000">
      <w:pPr>
        <w:spacing w:before="80" w:after="120"/>
      </w:pPr>
      <w:r>
        <w:rPr>
          <w:i/>
        </w:rPr>
        <w:t>* Le pourcentage du temps de l'EPS passé en gymnase varie selon les établissements, la disponibilité des équipements et les choix pédagogiques. Les deux hypothèses encadrent la fourchette réaliste des besoins.</w:t>
      </w:r>
    </w:p>
    <w:p w14:paraId="357DCFCE" w14:textId="77777777" w:rsidR="0076434C" w:rsidRDefault="00000000">
      <w:pPr>
        <w:spacing w:before="120" w:after="60"/>
      </w:pPr>
      <w:r>
        <w:rPr>
          <w:b/>
          <w:color w:val="1A237E"/>
          <w:sz w:val="21"/>
        </w:rPr>
        <w:t>B. Piscines — Plan d'eau</w:t>
      </w:r>
    </w:p>
    <w:p w14:paraId="3699EB00" w14:textId="77777777" w:rsidR="0076434C" w:rsidRDefault="00000000">
      <w:pPr>
        <w:spacing w:after="80"/>
      </w:pPr>
      <w:r>
        <w:t>Le calcul est conforme à la circulaire du 28 février 2022 relative à l'enseignement de la natation scolaire. Il modélise, pour chaque niveau d'enseignement, la fréquence des cycles de natation, la taille des groupes et la durée des créneaux afin d'estimer le nombre de m² de plan d'eau nécessaires. Le résultat est exprimé en trois valeurs :</w:t>
      </w:r>
    </w:p>
    <w:p w14:paraId="49D93EAF" w14:textId="77777777" w:rsidR="0076434C" w:rsidRDefault="00000000">
      <w:pPr>
        <w:pStyle w:val="Listepuces"/>
        <w:spacing w:after="40"/>
        <w:ind w:left="283"/>
      </w:pPr>
      <w:r>
        <w:t>Hypothèse basse — résultat minimal selon les paramètres de la circulaire</w:t>
      </w:r>
    </w:p>
    <w:p w14:paraId="2E4697B1" w14:textId="77777777" w:rsidR="0076434C" w:rsidRDefault="00000000">
      <w:pPr>
        <w:pStyle w:val="Listepuces"/>
        <w:spacing w:after="40"/>
        <w:ind w:left="283"/>
      </w:pPr>
      <w:r>
        <w:t>Hypothèse haute — résultat maximal</w:t>
      </w:r>
    </w:p>
    <w:p w14:paraId="65362C27" w14:textId="77777777" w:rsidR="0076434C" w:rsidRDefault="00000000">
      <w:pPr>
        <w:pStyle w:val="Listepuces"/>
        <w:spacing w:after="40"/>
        <w:ind w:left="283"/>
      </w:pPr>
      <w:r>
        <w:t>Hypothèse moyenne — moyenne des deux hypothèses, valeur de référence retenue pour les indicateurs de synthèse</w:t>
      </w:r>
    </w:p>
    <w:p w14:paraId="6A48BF9D" w14:textId="77777777" w:rsidR="0076434C" w:rsidRDefault="00000000">
      <w:pPr>
        <w:spacing w:after="60"/>
      </w:pPr>
      <w:r>
        <w:t>En complément, une estimation par ratio habitant est proposée selon trois standards couramment utilisés dans la planification sportive :</w:t>
      </w:r>
    </w:p>
    <w:p w14:paraId="03EBD603" w14:textId="77777777" w:rsidR="0076434C" w:rsidRDefault="00000000">
      <w:pPr>
        <w:pStyle w:val="Listepuces"/>
        <w:spacing w:after="40"/>
        <w:ind w:left="283"/>
      </w:pPr>
      <w:r>
        <w:t>0,016 m² de plan d'eau par habitant  (hypothèse basse)</w:t>
      </w:r>
    </w:p>
    <w:p w14:paraId="097DDAC1" w14:textId="77777777" w:rsidR="0076434C" w:rsidRDefault="00000000">
      <w:pPr>
        <w:pStyle w:val="Listepuces"/>
        <w:spacing w:after="40"/>
        <w:ind w:left="283"/>
      </w:pPr>
      <w:r>
        <w:t>0,018 m² de plan d'eau par habitant  (hypothèse médiane)</w:t>
      </w:r>
    </w:p>
    <w:p w14:paraId="3C3DD14A" w14:textId="77777777" w:rsidR="0076434C" w:rsidRDefault="00000000">
      <w:pPr>
        <w:pStyle w:val="Listepuces"/>
        <w:spacing w:after="40"/>
        <w:ind w:left="283"/>
      </w:pPr>
      <w:r>
        <w:t>0,020 m² de plan d'eau par habitant  (hypothèse haute)</w:t>
      </w:r>
    </w:p>
    <w:tbl>
      <w:tblPr>
        <w:tblStyle w:val="Grilledutableau"/>
        <w:tblW w:w="0" w:type="auto"/>
        <w:tblLook w:val="04A0" w:firstRow="1" w:lastRow="0" w:firstColumn="1" w:lastColumn="0" w:noHBand="0" w:noVBand="1"/>
      </w:tblPr>
      <w:tblGrid>
        <w:gridCol w:w="9071"/>
      </w:tblGrid>
      <w:tr w:rsidR="0076434C" w14:paraId="5FA9EFDE" w14:textId="77777777">
        <w:tc>
          <w:tcPr>
            <w:tcW w:w="9071" w:type="dxa"/>
            <w:tcBorders>
              <w:top w:val="none" w:sz="4" w:space="0" w:color="auto"/>
              <w:left w:val="none" w:sz="4" w:space="0" w:color="auto"/>
              <w:bottom w:val="none" w:sz="4" w:space="0" w:color="auto"/>
              <w:right w:val="none" w:sz="4" w:space="0" w:color="auto"/>
            </w:tcBorders>
            <w:shd w:val="clear" w:color="auto" w:fill="1A237E"/>
          </w:tcPr>
          <w:p w14:paraId="2A92E00C" w14:textId="77777777" w:rsidR="0076434C" w:rsidRDefault="00000000">
            <w:pPr>
              <w:spacing w:before="80" w:after="80"/>
              <w:jc w:val="center"/>
            </w:pPr>
            <w:r>
              <w:rPr>
                <w:b/>
                <w:color w:val="FFFFFF"/>
                <w:sz w:val="22"/>
              </w:rPr>
              <w:t>5. CODE COULEUR DES INDICATEURS</w:t>
            </w:r>
          </w:p>
        </w:tc>
      </w:tr>
    </w:tbl>
    <w:p w14:paraId="15640ABE" w14:textId="77777777" w:rsidR="0076434C" w:rsidRDefault="0076434C">
      <w:pPr>
        <w:spacing w:after="40"/>
      </w:pPr>
    </w:p>
    <w:p w14:paraId="39FCCE80" w14:textId="77777777" w:rsidR="0076434C" w:rsidRDefault="00000000">
      <w:pPr>
        <w:spacing w:after="80"/>
      </w:pPr>
      <w:r>
        <w:lastRenderedPageBreak/>
        <w:t>Les indicateurs de licenciés, clubs et équipements sont comparés à un indicateur moyen calculé comme la moyenne des taux disponibles (territoire, département, région, France). La position relative est visualisée par un code couleur :</w:t>
      </w:r>
    </w:p>
    <w:tbl>
      <w:tblPr>
        <w:tblStyle w:val="Grilledutableau"/>
        <w:tblW w:w="0" w:type="auto"/>
        <w:jc w:val="center"/>
        <w:tblLook w:val="04A0" w:firstRow="1" w:lastRow="0" w:firstColumn="1" w:lastColumn="0" w:noHBand="0" w:noVBand="1"/>
      </w:tblPr>
      <w:tblGrid>
        <w:gridCol w:w="1880"/>
        <w:gridCol w:w="1879"/>
        <w:gridCol w:w="1879"/>
        <w:gridCol w:w="1879"/>
        <w:gridCol w:w="1879"/>
      </w:tblGrid>
      <w:tr w:rsidR="0076434C" w14:paraId="05CB32C0" w14:textId="77777777" w:rsidTr="00284698">
        <w:trPr>
          <w:jc w:val="center"/>
        </w:trPr>
        <w:tc>
          <w:tcPr>
            <w:tcW w:w="1881" w:type="dxa"/>
            <w:shd w:val="clear" w:color="auto" w:fill="1A7A45"/>
          </w:tcPr>
          <w:p w14:paraId="328AD62C" w14:textId="77777777" w:rsidR="0076434C" w:rsidRDefault="00000000">
            <w:pPr>
              <w:spacing w:before="80" w:after="80"/>
              <w:jc w:val="center"/>
            </w:pPr>
            <w:r>
              <w:rPr>
                <w:b/>
                <w:color w:val="FFFFFF"/>
                <w:sz w:val="19"/>
              </w:rPr>
              <w:t>&gt; +10 %</w:t>
            </w:r>
          </w:p>
        </w:tc>
        <w:tc>
          <w:tcPr>
            <w:tcW w:w="1881" w:type="dxa"/>
            <w:shd w:val="clear" w:color="auto" w:fill="00B0F0"/>
          </w:tcPr>
          <w:p w14:paraId="13472F60" w14:textId="77777777" w:rsidR="0076434C" w:rsidRDefault="00000000">
            <w:pPr>
              <w:spacing w:before="80" w:after="80"/>
              <w:jc w:val="center"/>
            </w:pPr>
            <w:r>
              <w:rPr>
                <w:b/>
                <w:color w:val="FFFFFF"/>
                <w:sz w:val="19"/>
              </w:rPr>
              <w:t>+5 à +10 %</w:t>
            </w:r>
          </w:p>
        </w:tc>
        <w:tc>
          <w:tcPr>
            <w:tcW w:w="1881" w:type="dxa"/>
            <w:shd w:val="clear" w:color="auto" w:fill="A6A6A6" w:themeFill="background1" w:themeFillShade="A6"/>
          </w:tcPr>
          <w:p w14:paraId="2CF1441A" w14:textId="77777777" w:rsidR="0076434C" w:rsidRDefault="00000000">
            <w:pPr>
              <w:spacing w:before="80" w:after="80"/>
              <w:jc w:val="center"/>
            </w:pPr>
            <w:r>
              <w:rPr>
                <w:b/>
                <w:color w:val="FFFFFF"/>
                <w:sz w:val="19"/>
              </w:rPr>
              <w:t>± 5 %</w:t>
            </w:r>
          </w:p>
        </w:tc>
        <w:tc>
          <w:tcPr>
            <w:tcW w:w="1881" w:type="dxa"/>
            <w:shd w:val="clear" w:color="auto" w:fill="FFC000"/>
          </w:tcPr>
          <w:p w14:paraId="3ECE6533" w14:textId="77777777" w:rsidR="0076434C" w:rsidRDefault="00000000">
            <w:pPr>
              <w:spacing w:before="80" w:after="80"/>
              <w:jc w:val="center"/>
            </w:pPr>
            <w:r>
              <w:rPr>
                <w:b/>
                <w:color w:val="FFFFFF"/>
                <w:sz w:val="19"/>
              </w:rPr>
              <w:t>−5 à −10 %</w:t>
            </w:r>
          </w:p>
        </w:tc>
        <w:tc>
          <w:tcPr>
            <w:tcW w:w="1881" w:type="dxa"/>
            <w:shd w:val="clear" w:color="auto" w:fill="C0392B"/>
          </w:tcPr>
          <w:p w14:paraId="0F0D2182" w14:textId="77777777" w:rsidR="0076434C" w:rsidRDefault="00000000">
            <w:pPr>
              <w:spacing w:before="80" w:after="80"/>
              <w:jc w:val="center"/>
            </w:pPr>
            <w:r>
              <w:rPr>
                <w:b/>
                <w:color w:val="FFFFFF"/>
                <w:sz w:val="19"/>
              </w:rPr>
              <w:t>&lt; −10 %</w:t>
            </w:r>
          </w:p>
        </w:tc>
      </w:tr>
      <w:tr w:rsidR="0076434C" w14:paraId="02DBEF21" w14:textId="77777777">
        <w:trPr>
          <w:jc w:val="center"/>
        </w:trPr>
        <w:tc>
          <w:tcPr>
            <w:tcW w:w="1881" w:type="dxa"/>
          </w:tcPr>
          <w:p w14:paraId="5F669DE7" w14:textId="77777777" w:rsidR="0076434C" w:rsidRDefault="00000000">
            <w:pPr>
              <w:spacing w:before="60" w:after="60"/>
              <w:jc w:val="center"/>
            </w:pPr>
            <w:r>
              <w:rPr>
                <w:sz w:val="17"/>
              </w:rPr>
              <w:t>Très au-dessus</w:t>
            </w:r>
            <w:r>
              <w:rPr>
                <w:sz w:val="17"/>
              </w:rPr>
              <w:br/>
              <w:t>de la moyenne</w:t>
            </w:r>
          </w:p>
        </w:tc>
        <w:tc>
          <w:tcPr>
            <w:tcW w:w="1881" w:type="dxa"/>
          </w:tcPr>
          <w:p w14:paraId="7EC4A2EC" w14:textId="77777777" w:rsidR="0076434C" w:rsidRDefault="00000000">
            <w:pPr>
              <w:spacing w:before="60" w:after="60"/>
              <w:jc w:val="center"/>
            </w:pPr>
            <w:r>
              <w:rPr>
                <w:sz w:val="17"/>
              </w:rPr>
              <w:t>Au-dessus</w:t>
            </w:r>
            <w:r>
              <w:rPr>
                <w:sz w:val="17"/>
              </w:rPr>
              <w:br/>
              <w:t>de la moyenne</w:t>
            </w:r>
          </w:p>
        </w:tc>
        <w:tc>
          <w:tcPr>
            <w:tcW w:w="1881" w:type="dxa"/>
          </w:tcPr>
          <w:p w14:paraId="58AB292D" w14:textId="77777777" w:rsidR="0076434C" w:rsidRDefault="00000000">
            <w:pPr>
              <w:spacing w:before="60" w:after="60"/>
              <w:jc w:val="center"/>
            </w:pPr>
            <w:r>
              <w:rPr>
                <w:sz w:val="17"/>
              </w:rPr>
              <w:t>Dans la norme</w:t>
            </w:r>
          </w:p>
        </w:tc>
        <w:tc>
          <w:tcPr>
            <w:tcW w:w="1881" w:type="dxa"/>
          </w:tcPr>
          <w:p w14:paraId="39577D7D" w14:textId="77777777" w:rsidR="0076434C" w:rsidRDefault="00000000">
            <w:pPr>
              <w:spacing w:before="60" w:after="60"/>
              <w:jc w:val="center"/>
            </w:pPr>
            <w:r>
              <w:rPr>
                <w:sz w:val="17"/>
              </w:rPr>
              <w:t>En dessous</w:t>
            </w:r>
            <w:r>
              <w:rPr>
                <w:sz w:val="17"/>
              </w:rPr>
              <w:br/>
              <w:t>de la moyenne</w:t>
            </w:r>
          </w:p>
        </w:tc>
        <w:tc>
          <w:tcPr>
            <w:tcW w:w="1881" w:type="dxa"/>
          </w:tcPr>
          <w:p w14:paraId="6C75EB97" w14:textId="77777777" w:rsidR="0076434C" w:rsidRDefault="00000000">
            <w:pPr>
              <w:spacing w:before="60" w:after="60"/>
              <w:jc w:val="center"/>
            </w:pPr>
            <w:r>
              <w:rPr>
                <w:sz w:val="17"/>
              </w:rPr>
              <w:t>Très en dessous</w:t>
            </w:r>
            <w:r>
              <w:rPr>
                <w:sz w:val="17"/>
              </w:rPr>
              <w:br/>
              <w:t>de la moyenne</w:t>
            </w:r>
          </w:p>
        </w:tc>
      </w:tr>
    </w:tbl>
    <w:p w14:paraId="4A716E6C" w14:textId="77777777" w:rsidR="0076434C" w:rsidRDefault="0076434C">
      <w:pPr>
        <w:spacing w:after="120"/>
      </w:pPr>
    </w:p>
    <w:sectPr w:rsidR="0076434C" w:rsidSect="00034616">
      <w:footerReference w:type="default" r:id="rId8"/>
      <w:pgSz w:w="12240" w:h="15840"/>
      <w:pgMar w:top="1134"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0FBE2" w14:textId="77777777" w:rsidR="003B36A9" w:rsidRDefault="003B36A9">
      <w:pPr>
        <w:spacing w:after="0" w:line="240" w:lineRule="auto"/>
      </w:pPr>
      <w:r>
        <w:separator/>
      </w:r>
    </w:p>
  </w:endnote>
  <w:endnote w:type="continuationSeparator" w:id="0">
    <w:p w14:paraId="7770D99A" w14:textId="77777777" w:rsidR="003B36A9" w:rsidRDefault="003B3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A6C8" w14:textId="77777777" w:rsidR="0076434C" w:rsidRDefault="00000000">
    <w:pPr>
      <w:pStyle w:val="Pieddepage"/>
      <w:spacing w:before="80"/>
      <w:jc w:val="center"/>
    </w:pPr>
    <w:r>
      <w:rPr>
        <w:i/>
        <w:color w:val="555555"/>
        <w:sz w:val="16"/>
      </w:rPr>
      <w:t>SportData &amp; Territoires — Patrick Bayeux — Décideurs du sport  |  Sources : data.sports.gouv.fr · Ministère de l'Éducation nationale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E7E48" w14:textId="77777777" w:rsidR="003B36A9" w:rsidRDefault="003B36A9">
      <w:pPr>
        <w:spacing w:after="0" w:line="240" w:lineRule="auto"/>
      </w:pPr>
      <w:r>
        <w:separator/>
      </w:r>
    </w:p>
  </w:footnote>
  <w:footnote w:type="continuationSeparator" w:id="0">
    <w:p w14:paraId="204E5F16" w14:textId="77777777" w:rsidR="003B36A9" w:rsidRDefault="003B36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812670499">
    <w:abstractNumId w:val="8"/>
  </w:num>
  <w:num w:numId="2" w16cid:durableId="138621185">
    <w:abstractNumId w:val="6"/>
  </w:num>
  <w:num w:numId="3" w16cid:durableId="1771393412">
    <w:abstractNumId w:val="5"/>
  </w:num>
  <w:num w:numId="4" w16cid:durableId="593175976">
    <w:abstractNumId w:val="4"/>
  </w:num>
  <w:num w:numId="5" w16cid:durableId="1681345884">
    <w:abstractNumId w:val="7"/>
  </w:num>
  <w:num w:numId="6" w16cid:durableId="2038773420">
    <w:abstractNumId w:val="3"/>
  </w:num>
  <w:num w:numId="7" w16cid:durableId="250892824">
    <w:abstractNumId w:val="2"/>
  </w:num>
  <w:num w:numId="8" w16cid:durableId="1898857825">
    <w:abstractNumId w:val="1"/>
  </w:num>
  <w:num w:numId="9" w16cid:durableId="95490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84698"/>
    <w:rsid w:val="0029639D"/>
    <w:rsid w:val="00326F90"/>
    <w:rsid w:val="00357B8E"/>
    <w:rsid w:val="003B36A9"/>
    <w:rsid w:val="0076434C"/>
    <w:rsid w:val="00966156"/>
    <w:rsid w:val="00AA1D8D"/>
    <w:rsid w:val="00B47730"/>
    <w:rsid w:val="00CB0664"/>
    <w:rsid w:val="00F269C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8C6CF0"/>
  <w14:defaultImageDpi w14:val="300"/>
  <w15:docId w15:val="{4CA8BBE1-AA58-A840-B6EE-E3EA9C05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0"/>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4002</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patrick bayeux</cp:lastModifiedBy>
  <cp:revision>2</cp:revision>
  <dcterms:created xsi:type="dcterms:W3CDTF">2026-03-24T09:36:00Z</dcterms:created>
  <dcterms:modified xsi:type="dcterms:W3CDTF">2026-03-24T09:36:00Z</dcterms:modified>
  <cp:category/>
</cp:coreProperties>
</file>